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35AB">
      <w:pPr>
        <w:spacing w:line="680" w:lineRule="exact"/>
        <w:ind w:left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F269FB">
      <w:pPr>
        <w:spacing w:line="680" w:lineRule="exact"/>
        <w:ind w:left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宿环建管表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5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80C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博源精密部件（宿迁）有限公司</w:t>
      </w:r>
    </w:p>
    <w:p w14:paraId="5C0F4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年产12000台模块医疗设备及新能源设备电机配件项目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环境影响报告表的批复</w:t>
      </w:r>
    </w:p>
    <w:p w14:paraId="121585A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华文楷体" w:cs="Times New Roman"/>
          <w:sz w:val="32"/>
          <w:szCs w:val="32"/>
        </w:rPr>
      </w:pPr>
    </w:p>
    <w:p w14:paraId="4BF92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博源精密部件（宿迁）有限公司：</w:t>
      </w:r>
    </w:p>
    <w:p w14:paraId="445EA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你公司报送的由江苏海雯环保科技有限公司编制的《年产12000台模块医疗设备及新能源设备电机配件项目环境影响报告表》（以下简称《报告表》）收悉，经研究，现批复如下：</w:t>
      </w:r>
    </w:p>
    <w:p w14:paraId="38F69A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基本情况。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此项目拟建于宿迁市宿豫区金港路与乐余路交汇处（张家港工业园）苏科高新产业园16幢101（占地面积1029㎡），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铝锭为主要原料，经过熔化、重力铸造、锯切、热处理等工序，最终可形成年12000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模块医疗设备及新能源电机配件的生产能力。</w:t>
      </w:r>
      <w:bookmarkStart w:id="0" w:name="_GoBack"/>
      <w:bookmarkEnd w:id="0"/>
    </w:p>
    <w:p w14:paraId="6A074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项目符合国家、省产业政策，已取得</w:t>
      </w:r>
      <w:r>
        <w:rPr>
          <w:rFonts w:hint="eastAsia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宿迁市宿豫区数据局</w:t>
      </w:r>
      <w:r>
        <w:rPr>
          <w:rFonts w:hint="default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投资项目备案证（备案证号：</w:t>
      </w:r>
      <w:r>
        <w:rPr>
          <w:rFonts w:hint="eastAsia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宿豫数据备〔2025〕132号</w:t>
      </w:r>
      <w:r>
        <w:rPr>
          <w:rFonts w:hint="default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）。在全面落实《报告表》及本批复提出的各项生态环境保护和污染防治措施后，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仅从生态环境角度，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原则同意该项目按《报告表》中所列内容建设。</w:t>
      </w:r>
    </w:p>
    <w:p w14:paraId="28139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在项目工程设计、建设和环境管理中，你单位必须逐项落实《报告表》中提出的环保要求，严格执行环保“三同时”制度，确保各项污染物稳定达标排放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并重点落实以下要求：</w:t>
      </w:r>
    </w:p>
    <w:p w14:paraId="77C81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全过程贯彻循环经济理念和清洁生产原则，加强生产管理和环境管理，减少污染物产生量和排放量。采用先进工艺和设备，降低产品的物耗和能耗，以及污染物的排放，确保清洁生产水平不低于国内先进水平。</w:t>
      </w:r>
    </w:p>
    <w:p w14:paraId="3B824A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Cambria" w:hAnsi="Cambria" w:eastAsia="方正仿宋_GBK" w:cs="方正仿宋_GBK"/>
          <w:sz w:val="32"/>
          <w:szCs w:val="32"/>
          <w:lang w:val="en-US" w:eastAsia="zh-CN"/>
        </w:rPr>
      </w:pPr>
      <w:r>
        <w:rPr>
          <w:rFonts w:hint="eastAsia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Cambria" w:hAnsi="Cambria" w:eastAsia="方正仿宋_GBK" w:cs="方正仿宋_GBK"/>
          <w:b w:val="0"/>
          <w:bCs w:val="0"/>
          <w:sz w:val="32"/>
          <w:szCs w:val="32"/>
          <w:lang w:val="en-US" w:eastAsia="zh-CN"/>
        </w:rPr>
        <w:t>按“雨污分流”要求建设厂区排水系统。此项目仅产生</w:t>
      </w:r>
      <w:r>
        <w:rPr>
          <w:rFonts w:hint="default" w:ascii="Cambria" w:hAnsi="Cambria" w:eastAsia="方正仿宋_GBK" w:cs="方正仿宋_GBK"/>
          <w:sz w:val="32"/>
          <w:szCs w:val="32"/>
        </w:rPr>
        <w:t>生活污水</w:t>
      </w:r>
      <w:r>
        <w:rPr>
          <w:rFonts w:hint="default" w:ascii="Cambria" w:hAnsi="Cambria" w:eastAsia="方正仿宋_GBK" w:cs="方正仿宋_GBK"/>
          <w:sz w:val="32"/>
          <w:szCs w:val="32"/>
          <w:lang w:eastAsia="zh-CN"/>
        </w:rPr>
        <w:t>，</w:t>
      </w:r>
      <w:r>
        <w:rPr>
          <w:rFonts w:hint="default" w:ascii="Cambria" w:hAnsi="Cambria" w:eastAsia="方正仿宋_GBK" w:cs="方正仿宋_GBK"/>
          <w:sz w:val="32"/>
          <w:szCs w:val="32"/>
        </w:rPr>
        <w:t>经化粪池预处理满足</w:t>
      </w:r>
      <w:r>
        <w:rPr>
          <w:rFonts w:hint="default" w:ascii="Cambria" w:hAnsi="Cambria" w:eastAsia="方正仿宋_GBK" w:cs="方正仿宋_GBK"/>
          <w:sz w:val="32"/>
          <w:szCs w:val="32"/>
          <w:lang w:val="en-US" w:eastAsia="zh-CN"/>
        </w:rPr>
        <w:t>污水处理厂</w:t>
      </w:r>
      <w:r>
        <w:rPr>
          <w:rFonts w:hint="eastAsia" w:ascii="Cambria" w:hAnsi="Cambria" w:eastAsia="方正仿宋_GBK" w:cs="方正仿宋_GBK"/>
          <w:sz w:val="32"/>
          <w:szCs w:val="32"/>
          <w:lang w:val="en-US" w:eastAsia="zh-CN"/>
        </w:rPr>
        <w:t>接管</w:t>
      </w:r>
      <w:r>
        <w:rPr>
          <w:rFonts w:hint="default" w:ascii="Cambria" w:hAnsi="Cambria" w:eastAsia="方正仿宋_GBK" w:cs="方正仿宋_GBK"/>
          <w:sz w:val="32"/>
          <w:szCs w:val="32"/>
          <w:lang w:val="en-US" w:eastAsia="zh-CN"/>
        </w:rPr>
        <w:t>标准后</w:t>
      </w:r>
      <w:r>
        <w:rPr>
          <w:rFonts w:hint="eastAsia" w:ascii="Cambria" w:hAnsi="Cambria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Cambria" w:hAnsi="Cambria" w:eastAsia="方正仿宋_GBK" w:cs="方正仿宋_GBK"/>
          <w:sz w:val="32"/>
          <w:szCs w:val="32"/>
          <w:lang w:val="en-US" w:eastAsia="zh-CN"/>
        </w:rPr>
        <w:t>接管至</w:t>
      </w:r>
      <w:r>
        <w:rPr>
          <w:rFonts w:hint="eastAsia" w:ascii="Cambria" w:hAnsi="Cambria" w:eastAsia="方正仿宋_GBK" w:cs="方正仿宋_GBK"/>
          <w:sz w:val="32"/>
          <w:szCs w:val="32"/>
          <w:lang w:val="en-US" w:eastAsia="zh-CN"/>
        </w:rPr>
        <w:t>城东污水处理厂</w:t>
      </w:r>
      <w:r>
        <w:rPr>
          <w:rFonts w:hint="default" w:ascii="Cambria" w:hAnsi="Cambria" w:eastAsia="方正仿宋_GBK" w:cs="方正仿宋_GBK"/>
          <w:sz w:val="32"/>
          <w:szCs w:val="32"/>
          <w:lang w:val="en-US" w:eastAsia="zh-CN"/>
        </w:rPr>
        <w:t>集中处理。</w:t>
      </w:r>
    </w:p>
    <w:p w14:paraId="752E9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落实《报告表》提出的各项废气治理措施，应加强废气源头管控和全过程收集处理，确保各类废气的收集和处理效率不低于环评设计要求。加强熔化、浇注、脱模等工段操作管理，确保产生的废气应收尽收，废气收集经静电除油+高温布袋除尘器处理达标后有组织排放；环保设施应优先于或与其对应的生产工艺设备同步运转，保证在生产工艺设备运行波动情况下仍能正常运转，加强除尘设备巡检，消除设备隐患，保证正常运行。布袋除尘器应安装查压计，及时更换布袋除尘器滤袋，保证滤袋完整无破损。废气排放执行《铸造工业大气污染物排放标准》（GB39726-2020）中表1、表A.1和《大气污染物综合排放标准》（DB32/4041-2021）中表1、表2和表3限值标准。</w:t>
      </w:r>
    </w:p>
    <w:p w14:paraId="3B752B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合理进行厂区布置，优先选用低噪声生产设备，对高噪声设备须采取建筑物密闭、隔声等降噪措施，确保厂界噪声满足《工业企业厂界环境噪声排放标准》（GB12348-2008）中3类标准。</w:t>
      </w:r>
    </w:p>
    <w:p w14:paraId="466113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固废“减量化、资源化、无害化”处理处置原则，落实各类固废贮存、处置及综合利用措施。严禁固体废弃物随意排放，厂区的固废暂存场所按国家规定要求分类设置，防止二次污染。产生的危废须委托有资质单位处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危险废物转移应当遵循就近原则，并及时清运处置，同时做好台账和系统登记管理工作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一般工业固体废物储存执行《一般工业固体废物贮存和填埋污染控制标准》（GB18599-2020）中相关规定，危险废物贮存和处置执行《危险废物贮存污染控制标准》（GB18597-2023）、《危险废物收集储存运输技术规范》（HJ2025-2012）中相关规定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0DB2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（六）强化各项环境风险防范措施，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有效防范环境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风险。落实《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报告表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提出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环境风险防范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措施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定期排查并整改突发环境事件隐患，按要求配备环境应急设备和物资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2D9F2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（七）本项目设排气筒1个，雨水排放口、生活污水间接排放口各1个，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应按要求规范设置排污口和标识标牌，并按污染源自动控制相关管理要求建设、安装自动监控设备及其配套设施。落实《报告表》提出的环境管理与自行监测要求，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做好台账管理工作。</w:t>
      </w:r>
    </w:p>
    <w:p w14:paraId="3B9E75BD"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after="0" w:line="540" w:lineRule="exact"/>
        <w:ind w:firstLine="640" w:firstLineChars="200"/>
        <w:jc w:val="left"/>
        <w:textAlignment w:val="auto"/>
        <w:rPr>
          <w:rFonts w:hint="default" w:eastAsia="宋体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、项目实施后，污染物年排放量核定为：</w:t>
      </w:r>
    </w:p>
    <w:p w14:paraId="3FAA5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大气污染物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：颗粒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物≤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0.0761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t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非甲烷总烃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0.018t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663DCC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废水接管量：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废水量≤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t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COD≤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0.0384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t、SS≤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0.0096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t、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氨氮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0.0019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t、T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P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0.0003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t、TN≤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0.0029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t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66A995F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固体废物：综合利用或安全处置。</w:t>
      </w:r>
    </w:p>
    <w:p w14:paraId="10457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8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1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4"/>
          <w:sz w:val="32"/>
          <w:szCs w:val="32"/>
          <w:lang w:val="en-US" w:eastAsia="zh-CN"/>
        </w:rPr>
        <w:t>四、严格落实生态环境保护主体责任，你公司当对《报告表》的内容和结论负责。</w:t>
      </w:r>
    </w:p>
    <w:p w14:paraId="44BB7B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、你公司应对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环境治理设施开展安全风险辨识管理，健全内部污染防治设施稳定运行和管理责任制度，严格依据标准规范建设环境治理设施，确保环境治理设施安全、稳定、有效运行。</w:t>
      </w:r>
    </w:p>
    <w:p w14:paraId="4127B2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、你公司应当依照《排污许可管理条例》规定，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排污许可证；未取得排污许可证的，不得排放污染物。</w:t>
      </w:r>
    </w:p>
    <w:p w14:paraId="41A18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七、项目建设须严格执行配套的环境保护设施与主体工程同时设计、同时施工、同时投产使用的环境保护“三同时”制度；项目建成后，须按规定程序实施竣工环境保护验收。</w:t>
      </w:r>
    </w:p>
    <w:p w14:paraId="7E88E4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、你公司在项目建设中、建设后应主动接受各级生态环境部门的监督检查。该项目的日常环境监督管理工作由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宿豫生态环境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和市环境综合行政执法局按职责分别负责。</w:t>
      </w:r>
    </w:p>
    <w:p w14:paraId="4278F8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如项目的性质、规模、地点、采用的生产工艺或污染防治措施等发生重大变动的，应重新报批项目的环境影响评价文件。项目自批准之日起超过五年方开工建设的，其环境影响评价文件应当报具有审批权限的审批部门重新审核。</w:t>
      </w:r>
    </w:p>
    <w:p w14:paraId="5338D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</w:t>
      </w:r>
    </w:p>
    <w:p w14:paraId="45F58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宿迁市生态环境局</w:t>
      </w:r>
    </w:p>
    <w:p w14:paraId="1838D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2025年7 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53CD3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1959C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 w14:paraId="31E1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项目备案号：2505-321311-89-05-557229</w:t>
      </w:r>
    </w:p>
    <w:p w14:paraId="3F5C96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1598" w:leftChars="304" w:right="0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抄送：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张家港宿豫工业园区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管理委员会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，宿迁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市宿豫生态环境局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、市生态环境综合执法局、市生态环境监控监测中心、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市固废辐射与机动车污染防治管理中心</w:t>
      </w:r>
    </w:p>
    <w:sectPr>
      <w:headerReference r:id="rId3" w:type="default"/>
      <w:footerReference r:id="rId4" w:type="default"/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7085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B5684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7B5684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B39B3">
    <w:pPr>
      <w:pStyle w:val="7"/>
      <w:pBdr>
        <w:bottom w:val="none" w:color="auto" w:sz="0" w:space="1"/>
      </w:pBdr>
    </w:pPr>
    <w:r>
      <w:rPr>
        <w:sz w:val="18"/>
      </w:rPr>
      <w:pict>
        <v:shape id="PowerPlusWaterMarkObject10860" o:spid="_x0000_s4098" o:spt="136" type="#_x0000_t136" style="position:absolute;left:0pt;height:44.25pt;width:609.9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限博源精密部件（宿迁）有限公司使用" style="font-family:微软雅黑;font-size:44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63791"/>
    <w:multiLevelType w:val="singleLevel"/>
    <w:tmpl w:val="C6C637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257069"/>
    <w:multiLevelType w:val="singleLevel"/>
    <w:tmpl w:val="53257069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YmI1OGYyNjA4YmE2NzljOGU0NTlhYWEzYzYzYTAifQ=="/>
  </w:docVars>
  <w:rsids>
    <w:rsidRoot w:val="65122134"/>
    <w:rsid w:val="000B5D71"/>
    <w:rsid w:val="006E478D"/>
    <w:rsid w:val="00747987"/>
    <w:rsid w:val="00762C20"/>
    <w:rsid w:val="00823F0B"/>
    <w:rsid w:val="009444C8"/>
    <w:rsid w:val="00A66164"/>
    <w:rsid w:val="00AD23C1"/>
    <w:rsid w:val="00E64F19"/>
    <w:rsid w:val="00FC681F"/>
    <w:rsid w:val="021E7983"/>
    <w:rsid w:val="03142DFA"/>
    <w:rsid w:val="03692931"/>
    <w:rsid w:val="04BB18E4"/>
    <w:rsid w:val="05CB72C3"/>
    <w:rsid w:val="076805B5"/>
    <w:rsid w:val="087D2065"/>
    <w:rsid w:val="08DD0BDD"/>
    <w:rsid w:val="099C4093"/>
    <w:rsid w:val="09A63B84"/>
    <w:rsid w:val="0A742C74"/>
    <w:rsid w:val="0A7C245D"/>
    <w:rsid w:val="0B497906"/>
    <w:rsid w:val="0B6432F0"/>
    <w:rsid w:val="0BA45E9D"/>
    <w:rsid w:val="0C074FD4"/>
    <w:rsid w:val="0D5D725D"/>
    <w:rsid w:val="0F301F18"/>
    <w:rsid w:val="10D821AF"/>
    <w:rsid w:val="130C02AF"/>
    <w:rsid w:val="155E2E9F"/>
    <w:rsid w:val="17FE1C7B"/>
    <w:rsid w:val="1B5A215A"/>
    <w:rsid w:val="1DA46EAB"/>
    <w:rsid w:val="1E262080"/>
    <w:rsid w:val="1E601A36"/>
    <w:rsid w:val="1F716966"/>
    <w:rsid w:val="20057FD7"/>
    <w:rsid w:val="2A4E4E38"/>
    <w:rsid w:val="2BF81500"/>
    <w:rsid w:val="2D07566E"/>
    <w:rsid w:val="2E3E1B45"/>
    <w:rsid w:val="2E9D1EEA"/>
    <w:rsid w:val="2EB01C1E"/>
    <w:rsid w:val="2F5C53EF"/>
    <w:rsid w:val="2F9F760F"/>
    <w:rsid w:val="2FB41BE1"/>
    <w:rsid w:val="333A114C"/>
    <w:rsid w:val="33A8380B"/>
    <w:rsid w:val="35BB22C5"/>
    <w:rsid w:val="365B4E0D"/>
    <w:rsid w:val="38434BA9"/>
    <w:rsid w:val="3DE713D4"/>
    <w:rsid w:val="406A1B7D"/>
    <w:rsid w:val="40D50D6D"/>
    <w:rsid w:val="41E33C60"/>
    <w:rsid w:val="420F2CA7"/>
    <w:rsid w:val="42A259DE"/>
    <w:rsid w:val="43DD5413"/>
    <w:rsid w:val="43F409B3"/>
    <w:rsid w:val="455A5B83"/>
    <w:rsid w:val="458F482B"/>
    <w:rsid w:val="4715735C"/>
    <w:rsid w:val="47206EE9"/>
    <w:rsid w:val="48F30C2D"/>
    <w:rsid w:val="4A2A2D74"/>
    <w:rsid w:val="4A897A9B"/>
    <w:rsid w:val="4AFE7C99"/>
    <w:rsid w:val="4B4D1EF0"/>
    <w:rsid w:val="4D733FBA"/>
    <w:rsid w:val="4DDD202A"/>
    <w:rsid w:val="4DE3563D"/>
    <w:rsid w:val="4DF4362F"/>
    <w:rsid w:val="4E7A2452"/>
    <w:rsid w:val="501D447D"/>
    <w:rsid w:val="537B2BB0"/>
    <w:rsid w:val="53D83AAD"/>
    <w:rsid w:val="542E16B3"/>
    <w:rsid w:val="56AC739F"/>
    <w:rsid w:val="57383EA9"/>
    <w:rsid w:val="5B0E076A"/>
    <w:rsid w:val="5B1076EE"/>
    <w:rsid w:val="5CBA1365"/>
    <w:rsid w:val="5DE30E18"/>
    <w:rsid w:val="5F2B2A77"/>
    <w:rsid w:val="5FC00636"/>
    <w:rsid w:val="62AE2755"/>
    <w:rsid w:val="62F67840"/>
    <w:rsid w:val="62FF34F9"/>
    <w:rsid w:val="64305A7B"/>
    <w:rsid w:val="65122134"/>
    <w:rsid w:val="655B1521"/>
    <w:rsid w:val="66106E6A"/>
    <w:rsid w:val="663E5786"/>
    <w:rsid w:val="6873518C"/>
    <w:rsid w:val="6AB32948"/>
    <w:rsid w:val="6FC2412F"/>
    <w:rsid w:val="71D533A3"/>
    <w:rsid w:val="72D14BF7"/>
    <w:rsid w:val="73BF3510"/>
    <w:rsid w:val="73E84F83"/>
    <w:rsid w:val="743A2B40"/>
    <w:rsid w:val="74A2572D"/>
    <w:rsid w:val="75734D20"/>
    <w:rsid w:val="766B2BF9"/>
    <w:rsid w:val="77B126F7"/>
    <w:rsid w:val="7AB83901"/>
    <w:rsid w:val="7AC21F3E"/>
    <w:rsid w:val="7B743989"/>
    <w:rsid w:val="7B9A7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ordWrap w:val="0"/>
      <w:spacing w:after="160"/>
      <w:ind w:left="1600" w:firstLine="2160"/>
      <w:jc w:val="both"/>
      <w:outlineLvl w:val="3"/>
    </w:pPr>
    <w:rPr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pPr>
      <w:widowControl w:val="0"/>
      <w:spacing w:after="120"/>
    </w:pPr>
    <w:rPr>
      <w:rFonts w:ascii="Calibri" w:hAnsi="Calibri" w:cs="Calibri"/>
      <w:kern w:val="2"/>
      <w:sz w:val="21"/>
    </w:r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qFormat/>
    <w:uiPriority w:val="0"/>
    <w:pPr>
      <w:spacing w:after="120" w:line="240" w:lineRule="auto"/>
      <w:ind w:right="0" w:firstLine="420" w:firstLineChars="100"/>
    </w:pPr>
    <w:rPr>
      <w:sz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日期 Char"/>
    <w:basedOn w:val="12"/>
    <w:link w:val="5"/>
    <w:autoRedefine/>
    <w:qFormat/>
    <w:uiPriority w:val="0"/>
    <w:rPr>
      <w:kern w:val="2"/>
      <w:sz w:val="21"/>
      <w:szCs w:val="24"/>
    </w:rPr>
  </w:style>
  <w:style w:type="paragraph" w:customStyle="1" w:styleId="17">
    <w:name w:val="Default"/>
    <w:basedOn w:val="18"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8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19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20">
    <w:name w:val="表格内容居中"/>
    <w:basedOn w:val="1"/>
    <w:qFormat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2024</Words>
  <Characters>2194</Characters>
  <Lines>1</Lines>
  <Paragraphs>1</Paragraphs>
  <TotalTime>2</TotalTime>
  <ScaleCrop>false</ScaleCrop>
  <LinksUpToDate>false</LinksUpToDate>
  <CharactersWithSpaces>2260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2020-03-11T09:16:00Z</dcterms:created>
  <dc:creator>中文电脑</dc:creator>
  <cp:lastModifiedBy>魏星晨</cp:lastModifiedBy>
  <cp:lastPrinted>2025-02-12T02:54:00Z</cp:lastPrinted>
  <dcterms:modified xsi:type="dcterms:W3CDTF">2025-07-15T06:35:36Z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D023FCDEFF85475AA69C0A2FD1AA90B7_13</vt:lpwstr>
  </property>
  <property fmtid="{D5CDD505-2E9C-101B-9397-08002B2CF9AE}" pid="4" name="KSOTemplateDocerSaveRecord">
    <vt:lpwstr>eyJoZGlkIjoiY2NlMjJmZjY5MTQyNjdjMzZhNmY2ZjFkZDhhMDA1YjUiLCJ1c2VySWQiOiI5OTE0NjE4MzgifQ==</vt:lpwstr>
  </property>
</Properties>
</file>